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87" w:rsidRPr="005B1238" w:rsidRDefault="00BF7B16">
      <w:pPr>
        <w:rPr>
          <w:rFonts w:ascii="Times New Roman" w:hAnsi="Times New Roman" w:cs="Times New Roman"/>
          <w:sz w:val="28"/>
          <w:szCs w:val="28"/>
        </w:rPr>
      </w:pPr>
      <w:r w:rsidRPr="005B1238">
        <w:rPr>
          <w:rFonts w:ascii="Times New Roman" w:hAnsi="Times New Roman" w:cs="Times New Roman"/>
          <w:sz w:val="28"/>
          <w:szCs w:val="28"/>
        </w:rPr>
        <w:t>Med utgangspunkt i det vi vet om utviklingen av tallbegrepet hos barn kan vi prøve å nivådele og fokusdele sanger, regler, rim, leker og aktiviteter som vi bruker til dagen i barnehagen. Nivådelingen kan ta utgangspunkt i alder og bestå av de yngste, mellom</w:t>
      </w:r>
      <w:r w:rsidR="009F749C">
        <w:rPr>
          <w:rFonts w:ascii="Times New Roman" w:hAnsi="Times New Roman" w:cs="Times New Roman"/>
          <w:sz w:val="28"/>
          <w:szCs w:val="28"/>
        </w:rPr>
        <w:t>ste og eldste barna</w:t>
      </w:r>
      <w:r w:rsidRPr="005B1238">
        <w:rPr>
          <w:rFonts w:ascii="Times New Roman" w:hAnsi="Times New Roman" w:cs="Times New Roman"/>
          <w:sz w:val="28"/>
          <w:szCs w:val="28"/>
        </w:rPr>
        <w:t>. Innenfor hver av disse tre kan vi videre dele inn etter matematisk fokus. For eksempel vil et viktig fokusområde være “tall”</w:t>
      </w:r>
      <w:r w:rsidR="009F749C">
        <w:rPr>
          <w:rFonts w:ascii="Times New Roman" w:hAnsi="Times New Roman" w:cs="Times New Roman"/>
          <w:sz w:val="28"/>
          <w:szCs w:val="28"/>
        </w:rPr>
        <w:t>,</w:t>
      </w:r>
      <w:r w:rsidRPr="005B1238">
        <w:rPr>
          <w:rFonts w:ascii="Times New Roman" w:hAnsi="Times New Roman" w:cs="Times New Roman"/>
          <w:sz w:val="28"/>
          <w:szCs w:val="28"/>
        </w:rPr>
        <w:t xml:space="preserve"> som vi </w:t>
      </w:r>
      <w:r w:rsidR="001679F0" w:rsidRPr="005B1238">
        <w:rPr>
          <w:rFonts w:ascii="Times New Roman" w:hAnsi="Times New Roman" w:cs="Times New Roman"/>
          <w:sz w:val="28"/>
          <w:szCs w:val="28"/>
        </w:rPr>
        <w:t xml:space="preserve">igjen </w:t>
      </w:r>
      <w:r w:rsidRPr="005B1238">
        <w:rPr>
          <w:rFonts w:ascii="Times New Roman" w:hAnsi="Times New Roman" w:cs="Times New Roman"/>
          <w:sz w:val="28"/>
          <w:szCs w:val="28"/>
        </w:rPr>
        <w:t>kan findele v</w:t>
      </w:r>
      <w:r w:rsidR="001679F0" w:rsidRPr="005B1238">
        <w:rPr>
          <w:rFonts w:ascii="Times New Roman" w:hAnsi="Times New Roman" w:cs="Times New Roman"/>
          <w:sz w:val="28"/>
          <w:szCs w:val="28"/>
        </w:rPr>
        <w:t>idere i for eksempel</w:t>
      </w:r>
      <w:r w:rsidRPr="005B1238">
        <w:rPr>
          <w:rFonts w:ascii="Times New Roman" w:hAnsi="Times New Roman" w:cs="Times New Roman"/>
          <w:sz w:val="28"/>
          <w:szCs w:val="28"/>
        </w:rPr>
        <w:t xml:space="preserve"> parkobling og telleramse. </w:t>
      </w:r>
    </w:p>
    <w:p w:rsidR="00BF7B16" w:rsidRPr="005B1238" w:rsidRDefault="00BF7B16">
      <w:pPr>
        <w:rPr>
          <w:rFonts w:ascii="Times New Roman" w:hAnsi="Times New Roman" w:cs="Times New Roman"/>
          <w:sz w:val="28"/>
          <w:szCs w:val="28"/>
        </w:rPr>
      </w:pPr>
    </w:p>
    <w:p w:rsidR="00BF7B16" w:rsidRPr="005B1238" w:rsidRDefault="001679F0">
      <w:pPr>
        <w:rPr>
          <w:rFonts w:ascii="Times New Roman" w:hAnsi="Times New Roman" w:cs="Times New Roman"/>
          <w:sz w:val="28"/>
          <w:szCs w:val="28"/>
        </w:rPr>
      </w:pPr>
      <w:r w:rsidRPr="005B1238">
        <w:rPr>
          <w:rFonts w:ascii="Times New Roman" w:hAnsi="Times New Roman" w:cs="Times New Roman"/>
          <w:sz w:val="28"/>
          <w:szCs w:val="28"/>
        </w:rPr>
        <w:t xml:space="preserve">La oss </w:t>
      </w:r>
      <w:r w:rsidR="005B1238">
        <w:rPr>
          <w:rFonts w:ascii="Times New Roman" w:hAnsi="Times New Roman" w:cs="Times New Roman"/>
          <w:sz w:val="28"/>
          <w:szCs w:val="28"/>
        </w:rPr>
        <w:t>starte med</w:t>
      </w:r>
      <w:r w:rsidRPr="005B1238">
        <w:rPr>
          <w:rFonts w:ascii="Times New Roman" w:hAnsi="Times New Roman" w:cs="Times New Roman"/>
          <w:sz w:val="28"/>
          <w:szCs w:val="28"/>
        </w:rPr>
        <w:t xml:space="preserve"> å diskutere oss frem til hvor </w:t>
      </w:r>
      <w:r w:rsidR="005B1238" w:rsidRPr="005B1238">
        <w:rPr>
          <w:rFonts w:ascii="Times New Roman" w:hAnsi="Times New Roman" w:cs="Times New Roman"/>
          <w:sz w:val="28"/>
          <w:szCs w:val="28"/>
        </w:rPr>
        <w:t xml:space="preserve">“Elefantsangen” </w:t>
      </w:r>
      <w:r w:rsidR="005B1238">
        <w:rPr>
          <w:rFonts w:ascii="Times New Roman" w:hAnsi="Times New Roman" w:cs="Times New Roman"/>
          <w:sz w:val="28"/>
          <w:szCs w:val="28"/>
        </w:rPr>
        <w:t xml:space="preserve">fra Stedje </w:t>
      </w:r>
      <w:r w:rsidR="005D5967">
        <w:rPr>
          <w:rFonts w:ascii="Times New Roman" w:hAnsi="Times New Roman" w:cs="Times New Roman"/>
          <w:sz w:val="28"/>
          <w:szCs w:val="28"/>
        </w:rPr>
        <w:t xml:space="preserve">bhg. </w:t>
      </w:r>
      <w:r w:rsidR="005B1238" w:rsidRPr="005B1238">
        <w:rPr>
          <w:rFonts w:ascii="Times New Roman" w:hAnsi="Times New Roman" w:cs="Times New Roman"/>
          <w:sz w:val="28"/>
          <w:szCs w:val="28"/>
        </w:rPr>
        <w:t>passer i skjem</w:t>
      </w:r>
      <w:r w:rsidR="005B1238">
        <w:rPr>
          <w:rFonts w:ascii="Times New Roman" w:hAnsi="Times New Roman" w:cs="Times New Roman"/>
          <w:sz w:val="28"/>
          <w:szCs w:val="28"/>
        </w:rPr>
        <w:t>a</w:t>
      </w:r>
      <w:r w:rsidR="005B1238" w:rsidRPr="005B1238">
        <w:rPr>
          <w:rFonts w:ascii="Times New Roman" w:hAnsi="Times New Roman" w:cs="Times New Roman"/>
          <w:sz w:val="28"/>
          <w:szCs w:val="28"/>
        </w:rPr>
        <w:t>et vårt:</w:t>
      </w:r>
    </w:p>
    <w:tbl>
      <w:tblPr>
        <w:tblStyle w:val="Tabellrutenett"/>
        <w:tblW w:w="0" w:type="auto"/>
        <w:tblLook w:val="04A0"/>
      </w:tblPr>
      <w:tblGrid>
        <w:gridCol w:w="2015"/>
        <w:gridCol w:w="1859"/>
        <w:gridCol w:w="1998"/>
        <w:gridCol w:w="1827"/>
        <w:gridCol w:w="1589"/>
      </w:tblGrid>
      <w:tr w:rsidR="005B1238" w:rsidRPr="005B1238" w:rsidTr="005B1238">
        <w:tc>
          <w:tcPr>
            <w:tcW w:w="2015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b/>
                <w:sz w:val="28"/>
                <w:szCs w:val="28"/>
              </w:rPr>
              <w:t>Nivå og fokus</w:t>
            </w:r>
          </w:p>
        </w:tc>
        <w:tc>
          <w:tcPr>
            <w:tcW w:w="185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b/>
                <w:sz w:val="28"/>
                <w:szCs w:val="28"/>
              </w:rPr>
              <w:t>Yngste</w:t>
            </w:r>
          </w:p>
        </w:tc>
        <w:tc>
          <w:tcPr>
            <w:tcW w:w="1998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b/>
                <w:sz w:val="28"/>
                <w:szCs w:val="28"/>
              </w:rPr>
              <w:t>Mellomste</w:t>
            </w:r>
          </w:p>
        </w:tc>
        <w:tc>
          <w:tcPr>
            <w:tcW w:w="1827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b/>
                <w:sz w:val="28"/>
                <w:szCs w:val="28"/>
              </w:rPr>
              <w:t>Eldste</w:t>
            </w:r>
          </w:p>
        </w:tc>
        <w:tc>
          <w:tcPr>
            <w:tcW w:w="158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b/>
                <w:sz w:val="28"/>
                <w:szCs w:val="28"/>
              </w:rPr>
              <w:t>Presisering</w:t>
            </w:r>
          </w:p>
        </w:tc>
      </w:tr>
      <w:tr w:rsidR="005B1238" w:rsidRPr="005B1238" w:rsidTr="005B1238">
        <w:tc>
          <w:tcPr>
            <w:tcW w:w="2015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b/>
                <w:sz w:val="28"/>
                <w:szCs w:val="28"/>
              </w:rPr>
              <w:t>Tall</w:t>
            </w:r>
          </w:p>
        </w:tc>
        <w:tc>
          <w:tcPr>
            <w:tcW w:w="185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sz w:val="28"/>
                <w:szCs w:val="28"/>
              </w:rPr>
              <w:t>Elefantsangen</w:t>
            </w:r>
          </w:p>
        </w:tc>
        <w:tc>
          <w:tcPr>
            <w:tcW w:w="1827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38">
              <w:rPr>
                <w:rFonts w:ascii="Times New Roman" w:hAnsi="Times New Roman" w:cs="Times New Roman"/>
                <w:sz w:val="28"/>
                <w:szCs w:val="28"/>
              </w:rPr>
              <w:t>Visualisere størrelse på mengde</w:t>
            </w:r>
            <w:r w:rsidR="009F749C">
              <w:rPr>
                <w:rFonts w:ascii="Times New Roman" w:hAnsi="Times New Roman" w:cs="Times New Roman"/>
                <w:sz w:val="28"/>
                <w:szCs w:val="28"/>
              </w:rPr>
              <w:t>. Parkobling mellom elefanter og tallord i telleramsen.</w:t>
            </w:r>
          </w:p>
        </w:tc>
      </w:tr>
      <w:tr w:rsidR="005B1238" w:rsidRPr="005B1238" w:rsidTr="005B1238">
        <w:tc>
          <w:tcPr>
            <w:tcW w:w="2015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38" w:rsidRPr="005B1238" w:rsidTr="005B1238">
        <w:tc>
          <w:tcPr>
            <w:tcW w:w="2015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38" w:rsidRPr="005B1238" w:rsidTr="005B1238">
        <w:tc>
          <w:tcPr>
            <w:tcW w:w="2015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5B1238" w:rsidRPr="005B1238" w:rsidRDefault="005B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238" w:rsidRPr="005B1238" w:rsidRDefault="005B1238">
      <w:pPr>
        <w:rPr>
          <w:rFonts w:ascii="Times New Roman" w:hAnsi="Times New Roman" w:cs="Times New Roman"/>
          <w:sz w:val="28"/>
          <w:szCs w:val="28"/>
        </w:rPr>
      </w:pPr>
    </w:p>
    <w:p w:rsidR="005B1238" w:rsidRDefault="005B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 med “Fargeleiken”</w:t>
      </w:r>
      <w:r w:rsidR="005D5967">
        <w:rPr>
          <w:rFonts w:ascii="Times New Roman" w:hAnsi="Times New Roman" w:cs="Times New Roman"/>
          <w:sz w:val="28"/>
          <w:szCs w:val="28"/>
        </w:rPr>
        <w:t xml:space="preserve"> fra Vik, “Utandørs tal-lotto” fra Rones, “Klovne-spelet” fra Hafslo, “Tal-lotto” fra Henjahaugane, “Matteleik” fra Nybø, og alle sangane og ideene fra Lærdal og Årdal?</w:t>
      </w:r>
      <w:r w:rsidR="00C875B2">
        <w:rPr>
          <w:rFonts w:ascii="Times New Roman" w:hAnsi="Times New Roman" w:cs="Times New Roman"/>
          <w:sz w:val="28"/>
          <w:szCs w:val="28"/>
        </w:rPr>
        <w:t xml:space="preserve"> </w:t>
      </w:r>
      <w:r w:rsidR="00C875B2">
        <w:rPr>
          <w:rFonts w:ascii="Times New Roman" w:hAnsi="Times New Roman" w:cs="Times New Roman"/>
          <w:sz w:val="28"/>
          <w:szCs w:val="28"/>
        </w:rPr>
        <w:br/>
        <w:t>Vi vil helt sikkert oppleve at</w:t>
      </w:r>
      <w:r w:rsidR="005D5967">
        <w:rPr>
          <w:rFonts w:ascii="Times New Roman" w:hAnsi="Times New Roman" w:cs="Times New Roman"/>
          <w:sz w:val="28"/>
          <w:szCs w:val="28"/>
        </w:rPr>
        <w:t xml:space="preserve"> innholdet og utførelsene av disse må presiseres før at vi kan plas</w:t>
      </w:r>
      <w:r w:rsidR="00C875B2">
        <w:rPr>
          <w:rFonts w:ascii="Times New Roman" w:hAnsi="Times New Roman" w:cs="Times New Roman"/>
          <w:sz w:val="28"/>
          <w:szCs w:val="28"/>
        </w:rPr>
        <w:t>sere de, i tillegg til at noen</w:t>
      </w:r>
      <w:r w:rsidR="005D5967">
        <w:rPr>
          <w:rFonts w:ascii="Times New Roman" w:hAnsi="Times New Roman" w:cs="Times New Roman"/>
          <w:sz w:val="28"/>
          <w:szCs w:val="28"/>
        </w:rPr>
        <w:t xml:space="preserve"> kan brukes på </w:t>
      </w:r>
      <w:r w:rsidR="00C875B2">
        <w:rPr>
          <w:rFonts w:ascii="Times New Roman" w:hAnsi="Times New Roman" w:cs="Times New Roman"/>
          <w:sz w:val="28"/>
          <w:szCs w:val="28"/>
        </w:rPr>
        <w:t>flere</w:t>
      </w:r>
      <w:r w:rsidR="005D5967">
        <w:rPr>
          <w:rFonts w:ascii="Times New Roman" w:hAnsi="Times New Roman" w:cs="Times New Roman"/>
          <w:sz w:val="28"/>
          <w:szCs w:val="28"/>
        </w:rPr>
        <w:t xml:space="preserve"> nivå alt etter hvordan de </w:t>
      </w:r>
      <w:r w:rsidR="00C875B2">
        <w:rPr>
          <w:rFonts w:ascii="Times New Roman" w:hAnsi="Times New Roman" w:cs="Times New Roman"/>
          <w:sz w:val="28"/>
          <w:szCs w:val="28"/>
        </w:rPr>
        <w:t>er tenkt</w:t>
      </w:r>
      <w:r w:rsidR="005D5967">
        <w:rPr>
          <w:rFonts w:ascii="Times New Roman" w:hAnsi="Times New Roman" w:cs="Times New Roman"/>
          <w:sz w:val="28"/>
          <w:szCs w:val="28"/>
        </w:rPr>
        <w:t xml:space="preserve"> brukt. </w:t>
      </w:r>
    </w:p>
    <w:p w:rsidR="00757B51" w:rsidRDefault="00757B51">
      <w:pPr>
        <w:rPr>
          <w:rFonts w:ascii="Times New Roman" w:hAnsi="Times New Roman" w:cs="Times New Roman"/>
          <w:sz w:val="28"/>
          <w:szCs w:val="28"/>
        </w:rPr>
      </w:pPr>
    </w:p>
    <w:p w:rsidR="00757B51" w:rsidRDefault="001C4FB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57B51" w:rsidRPr="00CF4C69">
          <w:rPr>
            <w:rStyle w:val="Hyperkobling"/>
            <w:rFonts w:ascii="Times New Roman" w:hAnsi="Times New Roman" w:cs="Times New Roman"/>
            <w:sz w:val="28"/>
            <w:szCs w:val="28"/>
          </w:rPr>
          <w:t>http://fagnettverk.wikispaces.com/Tal%2C+rom+og+form</w:t>
        </w:r>
      </w:hyperlink>
    </w:p>
    <w:p w:rsidR="00757B51" w:rsidRPr="005B1238" w:rsidRDefault="00757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B51" w:rsidRPr="005B1238" w:rsidSect="001C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B16"/>
    <w:rsid w:val="001679F0"/>
    <w:rsid w:val="001C4FB9"/>
    <w:rsid w:val="0052626D"/>
    <w:rsid w:val="005B1238"/>
    <w:rsid w:val="005D5967"/>
    <w:rsid w:val="00757B51"/>
    <w:rsid w:val="009F749C"/>
    <w:rsid w:val="00BF7B16"/>
    <w:rsid w:val="00C875B2"/>
    <w:rsid w:val="00D9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57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57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gnettverk.wikispaces.com/Tal%2C+rom+og+for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HSF-SCCM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tomrjoh</dc:creator>
  <cp:lastModifiedBy>Karianne Stundal</cp:lastModifiedBy>
  <cp:revision>2</cp:revision>
  <cp:lastPrinted>2014-01-01T13:13:00Z</cp:lastPrinted>
  <dcterms:created xsi:type="dcterms:W3CDTF">2014-02-10T09:49:00Z</dcterms:created>
  <dcterms:modified xsi:type="dcterms:W3CDTF">2014-02-10T09:49:00Z</dcterms:modified>
</cp:coreProperties>
</file>